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1E95C" w14:textId="5C0918CF" w:rsidR="005139EE" w:rsidRDefault="005139EE" w:rsidP="00BF7037">
      <w:pPr>
        <w:jc w:val="center"/>
        <w:rPr>
          <w:b/>
          <w:bCs/>
          <w:sz w:val="28"/>
          <w:szCs w:val="28"/>
        </w:rPr>
      </w:pPr>
      <w:r w:rsidRPr="00C93B1A">
        <w:rPr>
          <w:rFonts w:ascii="Arial" w:hAnsi="Arial" w:cs="Arial"/>
          <w:b/>
          <w:noProof/>
          <w:sz w:val="32"/>
          <w:lang w:eastAsia="es-ES"/>
        </w:rPr>
        <w:drawing>
          <wp:anchor distT="0" distB="0" distL="114300" distR="114300" simplePos="0" relativeHeight="251659264" behindDoc="0" locked="0" layoutInCell="1" allowOverlap="1" wp14:anchorId="64099CBB" wp14:editId="109AFB91">
            <wp:simplePos x="0" y="0"/>
            <wp:positionH relativeFrom="margin">
              <wp:align>center</wp:align>
            </wp:positionH>
            <wp:positionV relativeFrom="paragraph">
              <wp:posOffset>-617220</wp:posOffset>
            </wp:positionV>
            <wp:extent cx="1925320" cy="1443990"/>
            <wp:effectExtent l="0" t="0" r="0" b="3810"/>
            <wp:wrapNone/>
            <wp:docPr id="21" name="Imagen 21" descr="Logo ro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rojo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320" cy="1443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49AFFB" w14:textId="77777777" w:rsidR="005139EE" w:rsidRDefault="005139EE" w:rsidP="00BF7037">
      <w:pPr>
        <w:jc w:val="center"/>
        <w:rPr>
          <w:b/>
          <w:bCs/>
          <w:sz w:val="28"/>
          <w:szCs w:val="28"/>
        </w:rPr>
      </w:pPr>
    </w:p>
    <w:p w14:paraId="1D0B780C" w14:textId="77777777" w:rsidR="005139EE" w:rsidRDefault="005139EE" w:rsidP="00BF7037">
      <w:pPr>
        <w:jc w:val="center"/>
        <w:rPr>
          <w:b/>
          <w:bCs/>
          <w:sz w:val="28"/>
          <w:szCs w:val="28"/>
        </w:rPr>
      </w:pPr>
    </w:p>
    <w:p w14:paraId="69AF2A61" w14:textId="60F11DA7" w:rsidR="00BF7037" w:rsidRDefault="00BF7037" w:rsidP="00BF7037">
      <w:pPr>
        <w:jc w:val="center"/>
        <w:rPr>
          <w:b/>
          <w:bCs/>
          <w:sz w:val="28"/>
          <w:szCs w:val="28"/>
        </w:rPr>
      </w:pPr>
      <w:r w:rsidRPr="00BF7037">
        <w:rPr>
          <w:b/>
          <w:bCs/>
          <w:sz w:val="28"/>
          <w:szCs w:val="28"/>
        </w:rPr>
        <w:t>ANÁLISIS PRESUPUESTOS CARM 2024.</w:t>
      </w:r>
    </w:p>
    <w:p w14:paraId="6E44FC6A" w14:textId="7668B127" w:rsidR="00BF7037" w:rsidRDefault="00BF7037" w:rsidP="00BF7037">
      <w:pPr>
        <w:jc w:val="both"/>
        <w:rPr>
          <w:b/>
          <w:bCs/>
          <w:sz w:val="24"/>
          <w:szCs w:val="24"/>
        </w:rPr>
      </w:pPr>
      <w:r w:rsidRPr="00BF7037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.- CONSEJERÍA DE ECONOMÍA, HACIENDA Y EMPRESA.</w:t>
      </w:r>
    </w:p>
    <w:p w14:paraId="0C9079F5" w14:textId="544ACF11" w:rsidR="00BF7037" w:rsidRDefault="000B3B47" w:rsidP="00BF703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F7037">
        <w:rPr>
          <w:sz w:val="24"/>
          <w:szCs w:val="24"/>
        </w:rPr>
        <w:t>El gobierno regional plantea un presupuesto desequilibrado e insolidario desde el punto de vista de los ingresos y de las medidas fiscales que incluye. Mientras el incremento en los ingresos se sustenta en una mayor recaudación tributaria del impuesto a las rentas del trabajo (IRPF) y del consumo (IVA) que han aumentado las entregas a cuenta a través del Sistema de Financiación Autonómica incrementando esta financiación en 675,3 millones de euros, hasta los 4.823,6 millones,</w:t>
      </w:r>
      <w:r>
        <w:rPr>
          <w:sz w:val="24"/>
          <w:szCs w:val="24"/>
        </w:rPr>
        <w:t xml:space="preserve"> las rentas del capital siguen teniendo un tratamiento fiscal privilegiado e insolidario a través de las exenciones fiscales que plantea el presupuesto, sobre todo por la práctica supresión del Impuesto de Patrimonio (-27 millones aproximadamente) y las bonificaciones del Impuesto de Sucesiones y Donaciones (-326 millones).</w:t>
      </w:r>
    </w:p>
    <w:p w14:paraId="68B00BD9" w14:textId="230B781D" w:rsidR="007E57F1" w:rsidRDefault="007E57F1" w:rsidP="00BF7037">
      <w:pPr>
        <w:jc w:val="both"/>
        <w:rPr>
          <w:sz w:val="24"/>
          <w:szCs w:val="24"/>
        </w:rPr>
      </w:pPr>
      <w:r>
        <w:rPr>
          <w:sz w:val="24"/>
          <w:szCs w:val="24"/>
        </w:rPr>
        <w:t>- Este incremento de ingresos compensa con creces la disminución en un 48% de los fondos europeos del Mecanismo de Recuperación y Resiliencia (MRR) y REACT-EU, pertenecientes al Programa de Recuperación planteado por la UE tras la pandemia de la Covid-19 y como tales tenían un periodo de aplicación determinado.</w:t>
      </w:r>
    </w:p>
    <w:p w14:paraId="177AD089" w14:textId="4BECD804" w:rsidR="000B3B47" w:rsidRDefault="000B3B47" w:rsidP="00BF7037">
      <w:pPr>
        <w:jc w:val="both"/>
        <w:rPr>
          <w:sz w:val="24"/>
          <w:szCs w:val="24"/>
        </w:rPr>
      </w:pPr>
      <w:r>
        <w:rPr>
          <w:sz w:val="24"/>
          <w:szCs w:val="24"/>
        </w:rPr>
        <w:t>- El presupuesto incluye un escenario irreal de déficit público al plantear un marco del 0,3% del PIB cuando la AIREF ya ha previsto que dicho déficit para 2024 será para la Región del Murcia del 1,4% del PIB, el mayor del conjunto de las CCAA, y del 2% a finales de 2023. Esta diferencia redundará en un incremento de la deuda que a mediados de este año ya alcanzaba los 12.070 millones, por lo que es previsible que en enero de 2024 se haya alcanzado ya e incluso sobrepasado la previsión de deuda que recogen el presupuesto para todo el año 2024.</w:t>
      </w:r>
    </w:p>
    <w:p w14:paraId="115D2CAF" w14:textId="286A8A4D" w:rsidR="000B3B47" w:rsidRDefault="000B3B47" w:rsidP="00BF7037">
      <w:pPr>
        <w:jc w:val="both"/>
        <w:rPr>
          <w:sz w:val="24"/>
          <w:szCs w:val="24"/>
        </w:rPr>
      </w:pPr>
      <w:r>
        <w:rPr>
          <w:sz w:val="24"/>
          <w:szCs w:val="24"/>
        </w:rPr>
        <w:t>- De esta manera, la deuda pública supone el tercer mayor gasto del conjunto del presupuesto tras Sanidad y Educación con 1.376 millones</w:t>
      </w:r>
      <w:r w:rsidR="007E57F1">
        <w:rPr>
          <w:sz w:val="24"/>
          <w:szCs w:val="24"/>
        </w:rPr>
        <w:t>, alcanzando casi a uno de cada cinco euros de gasto.</w:t>
      </w:r>
    </w:p>
    <w:p w14:paraId="55E2E840" w14:textId="27E08B76" w:rsidR="000B3B47" w:rsidRDefault="007E57F1" w:rsidP="00BF7037">
      <w:pPr>
        <w:jc w:val="both"/>
        <w:rPr>
          <w:sz w:val="24"/>
          <w:szCs w:val="24"/>
        </w:rPr>
      </w:pPr>
      <w:r>
        <w:rPr>
          <w:sz w:val="24"/>
          <w:szCs w:val="24"/>
        </w:rPr>
        <w:t>- No hay un compromiso firme por parte del gobierno regional en ejecutar el total de las inversiones previstas que para 2024 ascienden a un total de 226 millones (capítulo 6 de gasto) que en los últimos años no ha alcanzado el 50% de ejecución lo que representa una merma importante en la inyección de fondos a la economía regional a través de la ejecución de contratos públicos. En conjunto con las transferencias de capital (capítulo 7 de gasto), que contienen fundamentalmente subvenciones de fondos europeos y estatales con carácter finalista, las inversiones totales alcanzan en torno a dos tercios de las previsiones.</w:t>
      </w:r>
    </w:p>
    <w:p w14:paraId="4325B86F" w14:textId="3EB9FE71" w:rsidR="007E57F1" w:rsidRDefault="007E57F1" w:rsidP="00BF7037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En otro orden de cosas, los presupuestos de la Consejería de Economía recogen un recorte del 50% de las subvenciones destinadas a la CROEM, CCOO y UGT</w:t>
      </w:r>
      <w:r w:rsidR="006034B8">
        <w:rPr>
          <w:sz w:val="24"/>
          <w:szCs w:val="24"/>
        </w:rPr>
        <w:t xml:space="preserve"> en compensación por su participación en los órganos consultivos de asesoramiento y participación que se contemplan en la ley de participación institucional de la Región de Murcia. De esta manera, una vez más el gobierno del PP se pliega las exigencias absurdas y sin sentido, de la extrema derecha, tendentes a limitar la participación democrática de organizaciones representativas del mundo del trabajo.</w:t>
      </w:r>
    </w:p>
    <w:p w14:paraId="708A51AA" w14:textId="5265131C" w:rsidR="006034B8" w:rsidRPr="00BF7037" w:rsidRDefault="006034B8" w:rsidP="00BF7037">
      <w:pPr>
        <w:jc w:val="both"/>
        <w:rPr>
          <w:sz w:val="24"/>
          <w:szCs w:val="24"/>
        </w:rPr>
      </w:pPr>
      <w:r>
        <w:rPr>
          <w:sz w:val="24"/>
          <w:szCs w:val="24"/>
        </w:rPr>
        <w:t>- Igualmente, y de manera incomprensible</w:t>
      </w:r>
      <w:r w:rsidR="00C47851">
        <w:rPr>
          <w:sz w:val="24"/>
          <w:szCs w:val="24"/>
        </w:rPr>
        <w:t>, el presupuesto plantea un recorte en las partidas dedicadas al apoyo de la economía social en lo referente a inversiones en empresas de economía social (-31,6%) y en subvenciones a socios trabajadores para financiar su aportación a empresas de economía social (-21%)</w:t>
      </w:r>
    </w:p>
    <w:sectPr w:rsidR="006034B8" w:rsidRPr="00BF70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037"/>
    <w:rsid w:val="000B3B47"/>
    <w:rsid w:val="001324C5"/>
    <w:rsid w:val="005139EE"/>
    <w:rsid w:val="006034B8"/>
    <w:rsid w:val="006347C9"/>
    <w:rsid w:val="007E57F1"/>
    <w:rsid w:val="00BF7037"/>
    <w:rsid w:val="00C47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547A1"/>
  <w15:chartTrackingRefBased/>
  <w15:docId w15:val="{44D67B63-2ED9-4B9E-A4B0-BD6863962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528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Luis Álvarez-Castellanos</dc:creator>
  <cp:keywords/>
  <dc:description/>
  <cp:lastModifiedBy>José Luis Álvarez-Castellanos</cp:lastModifiedBy>
  <cp:revision>3</cp:revision>
  <dcterms:created xsi:type="dcterms:W3CDTF">2023-11-29T17:29:00Z</dcterms:created>
  <dcterms:modified xsi:type="dcterms:W3CDTF">2023-11-29T21:50:00Z</dcterms:modified>
</cp:coreProperties>
</file>