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372B4" w14:textId="6A8A6E91" w:rsidR="00A3755D" w:rsidRDefault="00A3755D" w:rsidP="002A3811">
      <w:pPr>
        <w:jc w:val="center"/>
        <w:rPr>
          <w:b/>
          <w:bCs/>
          <w:sz w:val="28"/>
          <w:szCs w:val="28"/>
        </w:rPr>
      </w:pPr>
      <w:r w:rsidRPr="00C93B1A">
        <w:rPr>
          <w:rFonts w:ascii="Arial" w:hAnsi="Arial" w:cs="Arial"/>
          <w:b/>
          <w:noProof/>
          <w:sz w:val="32"/>
          <w:lang w:eastAsia="es-ES"/>
        </w:rPr>
        <w:drawing>
          <wp:anchor distT="0" distB="0" distL="114300" distR="114300" simplePos="0" relativeHeight="251659264" behindDoc="0" locked="0" layoutInCell="1" allowOverlap="1" wp14:anchorId="3DB06311" wp14:editId="3DD67026">
            <wp:simplePos x="0" y="0"/>
            <wp:positionH relativeFrom="margin">
              <wp:posOffset>1653540</wp:posOffset>
            </wp:positionH>
            <wp:positionV relativeFrom="paragraph">
              <wp:posOffset>-280670</wp:posOffset>
            </wp:positionV>
            <wp:extent cx="1925320" cy="1443990"/>
            <wp:effectExtent l="0" t="0" r="0" b="3810"/>
            <wp:wrapNone/>
            <wp:docPr id="21" name="Imagen 21" descr="Logo r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rojo"/>
                    <pic:cNvPicPr>
                      <a:picLocks noChangeAspect="1" noChangeArrowheads="1"/>
                    </pic:cNvPicPr>
                  </pic:nvPicPr>
                  <pic:blipFill>
                    <a:blip r:embed="rId4"/>
                    <a:srcRect/>
                    <a:stretch>
                      <a:fillRect/>
                    </a:stretch>
                  </pic:blipFill>
                  <pic:spPr bwMode="auto">
                    <a:xfrm>
                      <a:off x="0" y="0"/>
                      <a:ext cx="1925320" cy="144399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6850D22" w14:textId="0D75B292" w:rsidR="00A3755D" w:rsidRDefault="00A3755D" w:rsidP="002A3811">
      <w:pPr>
        <w:jc w:val="center"/>
        <w:rPr>
          <w:b/>
          <w:bCs/>
          <w:sz w:val="28"/>
          <w:szCs w:val="28"/>
        </w:rPr>
      </w:pPr>
    </w:p>
    <w:p w14:paraId="084350F3" w14:textId="77777777" w:rsidR="00A3755D" w:rsidRDefault="00A3755D" w:rsidP="002A3811">
      <w:pPr>
        <w:jc w:val="center"/>
        <w:rPr>
          <w:b/>
          <w:bCs/>
          <w:sz w:val="28"/>
          <w:szCs w:val="28"/>
        </w:rPr>
      </w:pPr>
    </w:p>
    <w:p w14:paraId="28527318" w14:textId="77777777" w:rsidR="00A3755D" w:rsidRDefault="00A3755D" w:rsidP="002A3811">
      <w:pPr>
        <w:jc w:val="center"/>
        <w:rPr>
          <w:b/>
          <w:bCs/>
          <w:sz w:val="28"/>
          <w:szCs w:val="28"/>
        </w:rPr>
      </w:pPr>
    </w:p>
    <w:p w14:paraId="4A709BAF" w14:textId="19854270" w:rsidR="002A3811" w:rsidRDefault="002A3811" w:rsidP="002A3811">
      <w:pPr>
        <w:jc w:val="center"/>
        <w:rPr>
          <w:b/>
          <w:bCs/>
          <w:sz w:val="28"/>
          <w:szCs w:val="28"/>
        </w:rPr>
      </w:pPr>
      <w:r w:rsidRPr="00BF7037">
        <w:rPr>
          <w:b/>
          <w:bCs/>
          <w:sz w:val="28"/>
          <w:szCs w:val="28"/>
        </w:rPr>
        <w:t>ANÁLISIS PRESUPUESTOS CARM 2024.</w:t>
      </w:r>
    </w:p>
    <w:p w14:paraId="1A72E4F5" w14:textId="77777777" w:rsidR="00A3755D" w:rsidRDefault="00A3755D" w:rsidP="002A3811">
      <w:pPr>
        <w:jc w:val="center"/>
        <w:rPr>
          <w:b/>
          <w:bCs/>
          <w:sz w:val="28"/>
          <w:szCs w:val="28"/>
        </w:rPr>
      </w:pPr>
    </w:p>
    <w:p w14:paraId="5D116DCD" w14:textId="4EFA11D1" w:rsidR="002A3811" w:rsidRDefault="002A3811" w:rsidP="002A3811">
      <w:pPr>
        <w:jc w:val="both"/>
        <w:rPr>
          <w:b/>
          <w:bCs/>
          <w:sz w:val="24"/>
          <w:szCs w:val="24"/>
        </w:rPr>
      </w:pPr>
      <w:r w:rsidRPr="00BF7037">
        <w:rPr>
          <w:b/>
          <w:bCs/>
          <w:sz w:val="24"/>
          <w:szCs w:val="24"/>
        </w:rPr>
        <w:t>1</w:t>
      </w:r>
      <w:r>
        <w:rPr>
          <w:b/>
          <w:bCs/>
          <w:sz w:val="24"/>
          <w:szCs w:val="24"/>
        </w:rPr>
        <w:t xml:space="preserve">.- CONSEJERÍA </w:t>
      </w:r>
      <w:r>
        <w:rPr>
          <w:b/>
          <w:bCs/>
          <w:sz w:val="24"/>
          <w:szCs w:val="24"/>
        </w:rPr>
        <w:t>DE MEDIO AMBIENTE, UNIVERSIDADES, INVESTIGACIÓN Y MAR MENOR</w:t>
      </w:r>
      <w:r>
        <w:rPr>
          <w:b/>
          <w:bCs/>
          <w:sz w:val="24"/>
          <w:szCs w:val="24"/>
        </w:rPr>
        <w:t>.</w:t>
      </w:r>
      <w:r w:rsidR="00397533">
        <w:rPr>
          <w:b/>
          <w:bCs/>
          <w:sz w:val="24"/>
          <w:szCs w:val="24"/>
        </w:rPr>
        <w:t xml:space="preserve"> Los proyectos presupuestarios que incluyen los presupuestos de esta Consejería no responden a las necesidades reales y presentan, en este sentido, graves</w:t>
      </w:r>
    </w:p>
    <w:p w14:paraId="71117142" w14:textId="09503E02" w:rsidR="000004E7" w:rsidRDefault="002A3811" w:rsidP="002A3811">
      <w:pPr>
        <w:jc w:val="both"/>
        <w:rPr>
          <w:sz w:val="24"/>
          <w:szCs w:val="24"/>
        </w:rPr>
      </w:pPr>
      <w:r w:rsidRPr="000004E7">
        <w:rPr>
          <w:sz w:val="24"/>
          <w:szCs w:val="24"/>
        </w:rPr>
        <w:t>-</w:t>
      </w:r>
      <w:r w:rsidR="000004E7" w:rsidRPr="000004E7">
        <w:rPr>
          <w:sz w:val="24"/>
          <w:szCs w:val="24"/>
        </w:rPr>
        <w:t xml:space="preserve"> </w:t>
      </w:r>
      <w:r w:rsidR="000004E7">
        <w:rPr>
          <w:sz w:val="24"/>
          <w:szCs w:val="24"/>
        </w:rPr>
        <w:t>Una vez más se plantea presupuestariamente un marco de financiación de las Universidades Públicas sin aprobar un Plan de Financiación Plurianual, que inicialmente el propio consejero planteaba para 2024-28 y que lleva caducado desde 2020 cuando finalizó el anterior Plan 2016-2020. Esta situación coloca en un estado permanente de incertidumbre financiera del funcionamiento de las universidades y manifiesta un grave incumplimiento</w:t>
      </w:r>
      <w:r w:rsidR="0077052F">
        <w:rPr>
          <w:sz w:val="24"/>
          <w:szCs w:val="24"/>
        </w:rPr>
        <w:t xml:space="preserve"> de las propias promesas electorales del PP, sin obviar la negligencia que supone llevar tres años sin renovación del Plan de Financiación.</w:t>
      </w:r>
    </w:p>
    <w:p w14:paraId="5DD6E700" w14:textId="58A9A583" w:rsidR="0077052F" w:rsidRDefault="0077052F" w:rsidP="002A3811">
      <w:pPr>
        <w:jc w:val="both"/>
        <w:rPr>
          <w:sz w:val="24"/>
          <w:szCs w:val="24"/>
        </w:rPr>
      </w:pPr>
      <w:r>
        <w:rPr>
          <w:sz w:val="24"/>
          <w:szCs w:val="24"/>
        </w:rPr>
        <w:t>-</w:t>
      </w:r>
      <w:r w:rsidR="00AE3A5D">
        <w:rPr>
          <w:sz w:val="24"/>
          <w:szCs w:val="24"/>
        </w:rPr>
        <w:t xml:space="preserve"> En este sentido, la ausencia de este Plan de financiación Plurianual sigue sin dar respuesta financiera a la necesaria solución del profesorado asociado cuya adaptación al horario laboral planteado por la Ley Orgánica del Sistema Universitario</w:t>
      </w:r>
      <w:r>
        <w:rPr>
          <w:sz w:val="24"/>
          <w:szCs w:val="24"/>
        </w:rPr>
        <w:t xml:space="preserve"> </w:t>
      </w:r>
      <w:r w:rsidR="00AE3A5D">
        <w:rPr>
          <w:sz w:val="24"/>
          <w:szCs w:val="24"/>
        </w:rPr>
        <w:t>supondría un coste adicional en torno a los 12 millones de euros, cuestión que no se contempla en estos presupuestos.</w:t>
      </w:r>
    </w:p>
    <w:p w14:paraId="42B4B120" w14:textId="36377494" w:rsidR="00AE3A5D" w:rsidRDefault="00AE3A5D" w:rsidP="002A3811">
      <w:pPr>
        <w:jc w:val="both"/>
        <w:rPr>
          <w:sz w:val="24"/>
          <w:szCs w:val="24"/>
        </w:rPr>
      </w:pPr>
      <w:r>
        <w:rPr>
          <w:sz w:val="24"/>
          <w:szCs w:val="24"/>
        </w:rPr>
        <w:t xml:space="preserve">- </w:t>
      </w:r>
      <w:r w:rsidR="00A22E1D">
        <w:rPr>
          <w:sz w:val="24"/>
          <w:szCs w:val="24"/>
        </w:rPr>
        <w:t>En otro orden de cosas hay que resaltar que tampoco en el ámbito del medio ambiente los presupuestos plantean las soluciones necesarias para afrontar con éxito los retos a los que se enfrenta la Región de Murcia. Así en la recuperación del Mar Menor sigue sin haber una orientación clara de las actuaciones que debe afrontar el gobierno regional como lo demuestra la inejecución y la interrupción de proyectos como los biorreactores y filtros verdes o las medidas para el total cumplimiento de la ley de recuperación y protección de la laguna, con una Dirección General del Mar Menor totalmente dependiente de fondos europeos, lo que muestra de manera patente la falta de compromiso del gobierno regional con este problema.</w:t>
      </w:r>
    </w:p>
    <w:p w14:paraId="35F9434B" w14:textId="4E34E04F" w:rsidR="00A22E1D" w:rsidRDefault="00A22E1D" w:rsidP="002A3811">
      <w:pPr>
        <w:jc w:val="both"/>
        <w:rPr>
          <w:sz w:val="24"/>
          <w:szCs w:val="24"/>
        </w:rPr>
      </w:pPr>
      <w:r>
        <w:rPr>
          <w:sz w:val="24"/>
          <w:szCs w:val="24"/>
        </w:rPr>
        <w:t>- Cuestiones tan sobresalientes como el control de la calidad del aire no encuentran respuesta adecuada en los presupuestos de la consejería de Medio Ambiente</w:t>
      </w:r>
      <w:r w:rsidR="00F24851">
        <w:rPr>
          <w:sz w:val="24"/>
          <w:szCs w:val="24"/>
        </w:rPr>
        <w:t>. Las inversiones necesarias en calidad ambiental dirigidas fundamentalmente a esta finalidad han disminuido casi en un 24%.</w:t>
      </w:r>
    </w:p>
    <w:p w14:paraId="2DA4953D" w14:textId="02D9D09E" w:rsidR="00F24851" w:rsidRDefault="00F24851" w:rsidP="002A3811">
      <w:pPr>
        <w:jc w:val="both"/>
        <w:rPr>
          <w:sz w:val="24"/>
          <w:szCs w:val="24"/>
        </w:rPr>
      </w:pPr>
      <w:r>
        <w:rPr>
          <w:sz w:val="24"/>
          <w:szCs w:val="24"/>
        </w:rPr>
        <w:t xml:space="preserve">- Tampoco, en materia de inversiones en materia de energías limpias, ámbito de la máxima importancia para minimizar los efectos del cambio climático y facilitar la transición hacia un modelo energético sostenible, existe un compromiso financiero por </w:t>
      </w:r>
      <w:r>
        <w:rPr>
          <w:sz w:val="24"/>
          <w:szCs w:val="24"/>
        </w:rPr>
        <w:lastRenderedPageBreak/>
        <w:t>parte del gobierno regional en estos presupuestos. Las inversiones, que dependen al 100% del Mecanismos de Recuperación y Resiliencia financiado por fondos europeos a través del gobierno central, no se ven complementados por fondos regionales,</w:t>
      </w:r>
      <w:r w:rsidR="006479F1">
        <w:rPr>
          <w:sz w:val="24"/>
          <w:szCs w:val="24"/>
        </w:rPr>
        <w:t xml:space="preserve"> cero e</w:t>
      </w:r>
      <w:r w:rsidR="00A3755D">
        <w:rPr>
          <w:sz w:val="24"/>
          <w:szCs w:val="24"/>
        </w:rPr>
        <w:t>ur</w:t>
      </w:r>
      <w:r w:rsidR="006479F1">
        <w:rPr>
          <w:sz w:val="24"/>
          <w:szCs w:val="24"/>
        </w:rPr>
        <w:t>os,</w:t>
      </w:r>
      <w:r>
        <w:rPr>
          <w:sz w:val="24"/>
          <w:szCs w:val="24"/>
        </w:rPr>
        <w:t xml:space="preserve"> lo que conlleva a una disminución</w:t>
      </w:r>
      <w:r w:rsidR="006479F1">
        <w:rPr>
          <w:sz w:val="24"/>
          <w:szCs w:val="24"/>
        </w:rPr>
        <w:t xml:space="preserve"> del 32,6% en materias como ayudas al coche eléctrico, infraestructuras para recarga, rehabilitación energética de edificios, etc.</w:t>
      </w:r>
    </w:p>
    <w:p w14:paraId="35FE9B31" w14:textId="77777777" w:rsidR="006479F1" w:rsidRPr="000004E7" w:rsidRDefault="006479F1" w:rsidP="002A3811">
      <w:pPr>
        <w:jc w:val="both"/>
        <w:rPr>
          <w:sz w:val="24"/>
          <w:szCs w:val="24"/>
        </w:rPr>
      </w:pPr>
    </w:p>
    <w:p w14:paraId="4E62E561" w14:textId="77777777" w:rsidR="006347C9" w:rsidRDefault="006347C9"/>
    <w:sectPr w:rsidR="006347C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811"/>
    <w:rsid w:val="000004E7"/>
    <w:rsid w:val="002A3811"/>
    <w:rsid w:val="00397533"/>
    <w:rsid w:val="006347C9"/>
    <w:rsid w:val="006479F1"/>
    <w:rsid w:val="0077052F"/>
    <w:rsid w:val="00A22E1D"/>
    <w:rsid w:val="00A3755D"/>
    <w:rsid w:val="00A66E19"/>
    <w:rsid w:val="00AE3A5D"/>
    <w:rsid w:val="00F248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5272D"/>
  <w15:chartTrackingRefBased/>
  <w15:docId w15:val="{32D6A6DD-5C3B-48E3-920C-36C444306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81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Pages>
  <Words>444</Words>
  <Characters>2444</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Luis Álvarez-Castellanos</dc:creator>
  <cp:keywords/>
  <dc:description/>
  <cp:lastModifiedBy>José Luis Álvarez-Castellanos</cp:lastModifiedBy>
  <cp:revision>2</cp:revision>
  <dcterms:created xsi:type="dcterms:W3CDTF">2023-11-29T18:31:00Z</dcterms:created>
  <dcterms:modified xsi:type="dcterms:W3CDTF">2023-11-29T21:50:00Z</dcterms:modified>
</cp:coreProperties>
</file>