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24A2B" w14:textId="77777777" w:rsidR="00F36B1A" w:rsidRDefault="00F36B1A" w:rsidP="00E95DE2">
      <w:pPr>
        <w:jc w:val="both"/>
        <w:rPr>
          <w:b/>
          <w:bCs/>
          <w:sz w:val="28"/>
          <w:szCs w:val="28"/>
        </w:rPr>
      </w:pPr>
      <w:r w:rsidRPr="00C93B1A">
        <w:rPr>
          <w:rFonts w:ascii="Arial" w:hAnsi="Arial" w:cs="Arial"/>
          <w:b/>
          <w:noProof/>
          <w:sz w:val="32"/>
          <w:lang w:eastAsia="es-ES"/>
        </w:rPr>
        <w:drawing>
          <wp:anchor distT="0" distB="0" distL="114300" distR="114300" simplePos="0" relativeHeight="251659264" behindDoc="0" locked="0" layoutInCell="1" allowOverlap="1" wp14:anchorId="032F021E" wp14:editId="3D70F6DD">
            <wp:simplePos x="0" y="0"/>
            <wp:positionH relativeFrom="margin">
              <wp:align>center</wp:align>
            </wp:positionH>
            <wp:positionV relativeFrom="paragraph">
              <wp:posOffset>-624840</wp:posOffset>
            </wp:positionV>
            <wp:extent cx="1925320" cy="1443990"/>
            <wp:effectExtent l="0" t="0" r="0" b="3810"/>
            <wp:wrapNone/>
            <wp:docPr id="21" name="Imagen 21" descr="Logo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rojo"/>
                    <pic:cNvPicPr>
                      <a:picLocks noChangeAspect="1" noChangeArrowheads="1"/>
                    </pic:cNvPicPr>
                  </pic:nvPicPr>
                  <pic:blipFill>
                    <a:blip r:embed="rId5"/>
                    <a:srcRect/>
                    <a:stretch>
                      <a:fillRect/>
                    </a:stretch>
                  </pic:blipFill>
                  <pic:spPr bwMode="auto">
                    <a:xfrm>
                      <a:off x="0" y="0"/>
                      <a:ext cx="1925320" cy="1443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D941D46" w14:textId="77777777" w:rsidR="00F36B1A" w:rsidRDefault="00F36B1A" w:rsidP="00E95DE2">
      <w:pPr>
        <w:jc w:val="both"/>
        <w:rPr>
          <w:b/>
          <w:bCs/>
          <w:sz w:val="28"/>
          <w:szCs w:val="28"/>
        </w:rPr>
      </w:pPr>
    </w:p>
    <w:p w14:paraId="3633F579" w14:textId="77777777" w:rsidR="00F36B1A" w:rsidRDefault="00F36B1A" w:rsidP="00E95DE2">
      <w:pPr>
        <w:jc w:val="both"/>
        <w:rPr>
          <w:b/>
          <w:bCs/>
          <w:sz w:val="28"/>
          <w:szCs w:val="28"/>
        </w:rPr>
      </w:pPr>
    </w:p>
    <w:p w14:paraId="025D044B" w14:textId="77777777" w:rsidR="00F36B1A" w:rsidRDefault="00F36B1A" w:rsidP="00E95DE2">
      <w:pPr>
        <w:jc w:val="both"/>
        <w:rPr>
          <w:b/>
          <w:bCs/>
          <w:sz w:val="28"/>
          <w:szCs w:val="28"/>
        </w:rPr>
      </w:pPr>
      <w:r w:rsidRPr="00BF7037">
        <w:rPr>
          <w:b/>
          <w:bCs/>
          <w:sz w:val="28"/>
          <w:szCs w:val="28"/>
        </w:rPr>
        <w:t>ANÁLISIS PRESUPUESTOS CARM 2024.</w:t>
      </w:r>
    </w:p>
    <w:p w14:paraId="7CFE7513" w14:textId="236A27A2" w:rsidR="00F36B1A" w:rsidRDefault="00F36B1A" w:rsidP="00E95DE2">
      <w:pPr>
        <w:jc w:val="both"/>
        <w:rPr>
          <w:b/>
          <w:bCs/>
          <w:sz w:val="24"/>
          <w:szCs w:val="24"/>
        </w:rPr>
      </w:pPr>
      <w:r w:rsidRPr="00BF7037">
        <w:rPr>
          <w:b/>
          <w:bCs/>
          <w:sz w:val="24"/>
          <w:szCs w:val="24"/>
        </w:rPr>
        <w:t>1</w:t>
      </w:r>
      <w:r>
        <w:rPr>
          <w:b/>
          <w:bCs/>
          <w:sz w:val="24"/>
          <w:szCs w:val="24"/>
        </w:rPr>
        <w:t xml:space="preserve">.- CONSEJERÍA DE </w:t>
      </w:r>
      <w:r w:rsidR="001C1E96">
        <w:rPr>
          <w:b/>
          <w:bCs/>
          <w:sz w:val="24"/>
          <w:szCs w:val="24"/>
        </w:rPr>
        <w:t>POLÍTICA SOCIAL, FAMILIAS E IGUALDAD</w:t>
      </w:r>
      <w:r>
        <w:rPr>
          <w:b/>
          <w:bCs/>
          <w:sz w:val="24"/>
          <w:szCs w:val="24"/>
        </w:rPr>
        <w:t>.</w:t>
      </w:r>
    </w:p>
    <w:p w14:paraId="7F136AAF" w14:textId="41923811" w:rsidR="001C1E96" w:rsidRDefault="001C1E96" w:rsidP="00E95DE2">
      <w:pPr>
        <w:jc w:val="both"/>
        <w:rPr>
          <w:bCs/>
          <w:sz w:val="24"/>
          <w:szCs w:val="24"/>
        </w:rPr>
      </w:pPr>
      <w:r>
        <w:rPr>
          <w:bCs/>
          <w:sz w:val="24"/>
          <w:szCs w:val="24"/>
        </w:rPr>
        <w:t xml:space="preserve">- </w:t>
      </w:r>
      <w:r w:rsidRPr="001C1E96">
        <w:rPr>
          <w:bCs/>
          <w:sz w:val="24"/>
          <w:szCs w:val="24"/>
        </w:rPr>
        <w:t>Los presupuestos de la Consejería de Política Social, Familias e Igualdad no responden a los grandes problemas de nuestra Región, entre ellos, sacar del último lugar de valoración al Sistema de Servicios Sociales, catalogado por la Asociación Estatal de Directoras y Gerentes de Servicios Sociales en el puesto 17 del conjunto de las CCAA; igualmente dar respuesta a las listas de espera del sistema de Dependencia y mejorar sus servicios y prestaciones, en cantidad y calidad; avanzar en derechos subjetivos y en políticas que acaben con las bolsas de pobreza y, finalmente, avanzar en políticas de igualdad y de lucha contra la violencia de género en una región en la que ostentamos el primer puesto en denuncias por violencia de género.</w:t>
      </w:r>
      <w:r>
        <w:rPr>
          <w:bCs/>
          <w:sz w:val="24"/>
          <w:szCs w:val="24"/>
        </w:rPr>
        <w:t xml:space="preserve"> Ninguna de estas cuestiones se aborda con seriedad e intención de cambio en estos presupuestos de la CARM para 2024.</w:t>
      </w:r>
    </w:p>
    <w:p w14:paraId="217DCCDA" w14:textId="3E509170" w:rsidR="001C1E96" w:rsidRDefault="001C1E96" w:rsidP="00E95DE2">
      <w:pPr>
        <w:jc w:val="both"/>
        <w:rPr>
          <w:bCs/>
          <w:sz w:val="24"/>
          <w:szCs w:val="24"/>
        </w:rPr>
      </w:pPr>
      <w:r>
        <w:rPr>
          <w:bCs/>
          <w:sz w:val="24"/>
          <w:szCs w:val="24"/>
        </w:rPr>
        <w:t>- En materia de lucha contra la violencia de género la consejería recorta presupuestos propios</w:t>
      </w:r>
      <w:r w:rsidR="002C7A7A">
        <w:rPr>
          <w:bCs/>
          <w:sz w:val="24"/>
          <w:szCs w:val="24"/>
        </w:rPr>
        <w:t xml:space="preserve"> a costa de la financiación estatal de estas políticas que ya alcanza al 72% del gasto total por tan solo un 28% de aportación de presupuesto de la CARM, congelando los fondos destinados al mantenimiento y funcionamiento de los CAVI, por poner solo un ejemplo. Igual ocurre en materia de Igualdad, donde no existen políticas definidas</w:t>
      </w:r>
      <w:r w:rsidR="009B1D2F">
        <w:rPr>
          <w:bCs/>
          <w:sz w:val="24"/>
          <w:szCs w:val="24"/>
        </w:rPr>
        <w:t xml:space="preserve"> de avance en esta materia, al margen del Plan Corresponsables que financia íntegramente el Ministerio de Igualdad. Nada en políticas contra la brecha salarial de género, de concienciación y educación en igualdad o avance en planes de igualdad de la propia administración. El leve avance presupuestario (0´37) se debe a las mejoras retributivas del personal.</w:t>
      </w:r>
    </w:p>
    <w:p w14:paraId="33E84D21" w14:textId="63C7654D" w:rsidR="009B1D2F" w:rsidRDefault="009B1D2F" w:rsidP="00E95DE2">
      <w:pPr>
        <w:jc w:val="both"/>
        <w:rPr>
          <w:bCs/>
          <w:sz w:val="24"/>
          <w:szCs w:val="24"/>
        </w:rPr>
      </w:pPr>
      <w:r>
        <w:rPr>
          <w:bCs/>
          <w:sz w:val="24"/>
          <w:szCs w:val="24"/>
        </w:rPr>
        <w:t>- El presupuesto dedicado a Dependencia es totalmente insuficiente ante una situación pésima del Sistema en nuestra Región, último lugar del conjunto de las CCAA. Presenta, además, un déficit importante en la cartera de servicios, ocupando, por ejemplo, el último lugar en plazas residenciales disponibles</w:t>
      </w:r>
      <w:r w:rsidR="00275799">
        <w:rPr>
          <w:bCs/>
          <w:sz w:val="24"/>
          <w:szCs w:val="24"/>
        </w:rPr>
        <w:t xml:space="preserve">, centrando la cartera de prestaciones fundamentalmente en las Prestaciones Económicas de Cuidados Familiares (PECF), siendo estas también de las más bajas del país y financiadas en su mayor parte por el gobierno central, </w:t>
      </w:r>
      <w:r w:rsidR="006174AC">
        <w:rPr>
          <w:bCs/>
          <w:sz w:val="24"/>
          <w:szCs w:val="24"/>
        </w:rPr>
        <w:t>aun así, son financiadas por el Estado en un 60%. Tampoco se recogen incrementos significativos en incremento de personal que pueda incidir en la reducción de la tramitación de los expedientes, que se eleva ya a 504 días y continúa aumentando, para reducir las listas de espera.</w:t>
      </w:r>
    </w:p>
    <w:p w14:paraId="7386237F" w14:textId="01C92E7B" w:rsidR="006174AC" w:rsidRDefault="006174AC" w:rsidP="00E95DE2">
      <w:pPr>
        <w:jc w:val="both"/>
        <w:rPr>
          <w:bCs/>
          <w:sz w:val="24"/>
          <w:szCs w:val="24"/>
        </w:rPr>
      </w:pPr>
      <w:r>
        <w:rPr>
          <w:bCs/>
          <w:sz w:val="24"/>
          <w:szCs w:val="24"/>
        </w:rPr>
        <w:t xml:space="preserve">- Existe una mejoría en la financiación e incremento del número de plazas residenciales, en parte también debido al incremento de la financiación estatal en este ámbito, pero también totalmente insuficiente para paliar el déficit crónico existente y sin previsión de </w:t>
      </w:r>
      <w:r>
        <w:rPr>
          <w:bCs/>
          <w:sz w:val="24"/>
          <w:szCs w:val="24"/>
        </w:rPr>
        <w:lastRenderedPageBreak/>
        <w:t>inversiones en residencias públicas, limitándose a la ampliación de la concertación privada.</w:t>
      </w:r>
    </w:p>
    <w:p w14:paraId="21BE7C02" w14:textId="3A1D5802" w:rsidR="006174AC" w:rsidRDefault="006174AC" w:rsidP="00E95DE2">
      <w:pPr>
        <w:jc w:val="both"/>
        <w:rPr>
          <w:bCs/>
          <w:sz w:val="24"/>
          <w:szCs w:val="24"/>
        </w:rPr>
      </w:pPr>
      <w:r>
        <w:rPr>
          <w:bCs/>
          <w:sz w:val="24"/>
          <w:szCs w:val="24"/>
        </w:rPr>
        <w:t>- Finalmente, las ayudas en relación con</w:t>
      </w:r>
      <w:r w:rsidR="00BD42F8">
        <w:rPr>
          <w:bCs/>
          <w:sz w:val="24"/>
          <w:szCs w:val="24"/>
        </w:rPr>
        <w:t xml:space="preserve"> la</w:t>
      </w:r>
      <w:r>
        <w:rPr>
          <w:bCs/>
          <w:sz w:val="24"/>
          <w:szCs w:val="24"/>
        </w:rPr>
        <w:t xml:space="preserve"> lucha contra la pobreza se congelan o disminuyen sin que haya un compromiso serio por complementar las ayudas derivadas del Ingreso Mínimo Vital del Ministerio de Seguridad Social. La partida en Renta Básica disminuye en dos millones</w:t>
      </w:r>
      <w:r w:rsidR="00BD42F8">
        <w:rPr>
          <w:bCs/>
          <w:sz w:val="24"/>
          <w:szCs w:val="24"/>
        </w:rPr>
        <w:t xml:space="preserve"> (de 14,1 a 12,1)</w:t>
      </w:r>
      <w:r>
        <w:rPr>
          <w:bCs/>
          <w:sz w:val="24"/>
          <w:szCs w:val="24"/>
        </w:rPr>
        <w:t>, al igual que las ayudas periódicas de inserción y protección social</w:t>
      </w:r>
      <w:r w:rsidR="00BD42F8">
        <w:rPr>
          <w:bCs/>
          <w:sz w:val="24"/>
          <w:szCs w:val="24"/>
        </w:rPr>
        <w:t xml:space="preserve"> (-28,4%) o subvenciones a algunos ayuntamientos para impulsar medidas en este sentido, que desaparecen (de 2,2 millones a cero).</w:t>
      </w:r>
      <w:bookmarkStart w:id="0" w:name="_GoBack"/>
      <w:bookmarkEnd w:id="0"/>
    </w:p>
    <w:p w14:paraId="6D43EBBA" w14:textId="77777777" w:rsidR="001C1E96" w:rsidRDefault="001C1E96" w:rsidP="00E95DE2">
      <w:pPr>
        <w:jc w:val="both"/>
        <w:rPr>
          <w:bCs/>
          <w:sz w:val="24"/>
          <w:szCs w:val="24"/>
        </w:rPr>
      </w:pPr>
    </w:p>
    <w:p w14:paraId="108CAF8D" w14:textId="230D209C" w:rsidR="001C1E96" w:rsidRPr="001C1E96" w:rsidRDefault="001C1E96" w:rsidP="001C1E96">
      <w:pPr>
        <w:jc w:val="both"/>
        <w:rPr>
          <w:bCs/>
          <w:sz w:val="24"/>
          <w:szCs w:val="24"/>
        </w:rPr>
      </w:pPr>
    </w:p>
    <w:p w14:paraId="0E470BBB" w14:textId="77777777" w:rsidR="001C1E96" w:rsidRPr="001C1E96" w:rsidRDefault="001C1E96" w:rsidP="00E95DE2">
      <w:pPr>
        <w:jc w:val="both"/>
        <w:rPr>
          <w:bCs/>
          <w:sz w:val="24"/>
          <w:szCs w:val="24"/>
        </w:rPr>
      </w:pPr>
    </w:p>
    <w:sectPr w:rsidR="001C1E96" w:rsidRPr="001C1E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B3755"/>
    <w:multiLevelType w:val="hybridMultilevel"/>
    <w:tmpl w:val="A50094D8"/>
    <w:lvl w:ilvl="0" w:tplc="D3504ACA">
      <w:numFmt w:val="bullet"/>
      <w:lvlText w:val="-"/>
      <w:lvlJc w:val="left"/>
      <w:pPr>
        <w:ind w:left="1065" w:hanging="360"/>
      </w:pPr>
      <w:rPr>
        <w:rFonts w:ascii="Calibri" w:eastAsiaTheme="minorHAnsi" w:hAnsi="Calibri" w:cs="Calibri"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 w15:restartNumberingAfterBreak="0">
    <w:nsid w:val="3AAD4621"/>
    <w:multiLevelType w:val="hybridMultilevel"/>
    <w:tmpl w:val="9D44BDEA"/>
    <w:lvl w:ilvl="0" w:tplc="E9BEE040">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5E6D4AAE"/>
    <w:multiLevelType w:val="hybridMultilevel"/>
    <w:tmpl w:val="BAD883EA"/>
    <w:lvl w:ilvl="0" w:tplc="A81CE3A4">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656"/>
    <w:rsid w:val="00055605"/>
    <w:rsid w:val="000A272A"/>
    <w:rsid w:val="001C1E96"/>
    <w:rsid w:val="00275799"/>
    <w:rsid w:val="002C7A7A"/>
    <w:rsid w:val="005F06B2"/>
    <w:rsid w:val="006174AC"/>
    <w:rsid w:val="007F0482"/>
    <w:rsid w:val="009B1D2F"/>
    <w:rsid w:val="00AE407E"/>
    <w:rsid w:val="00BD42F8"/>
    <w:rsid w:val="00CD7656"/>
    <w:rsid w:val="00D82D07"/>
    <w:rsid w:val="00E95DE2"/>
    <w:rsid w:val="00F173DB"/>
    <w:rsid w:val="00F350A7"/>
    <w:rsid w:val="00F36B1A"/>
    <w:rsid w:val="00FB732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E4BFC"/>
  <w15:chartTrackingRefBased/>
  <w15:docId w15:val="{D45DB20E-7F9A-45D2-BC4C-36B1C353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F04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2</Pages>
  <Words>523</Words>
  <Characters>2878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6</cp:revision>
  <dcterms:created xsi:type="dcterms:W3CDTF">2023-11-30T13:06:00Z</dcterms:created>
  <dcterms:modified xsi:type="dcterms:W3CDTF">2023-12-04T10:15:00Z</dcterms:modified>
</cp:coreProperties>
</file>