
<file path=[Content_Types].xml><?xml version="1.0" encoding="utf-8"?>
<Types xmlns="http://schemas.openxmlformats.org/package/2006/content-types">
  <Default Extension="emf" ContentType="image/x-emf"/>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9C7651F" w14:textId="1CFB7F74" w:rsidR="00E40270" w:rsidRDefault="00E40270" w:rsidP="00E40270">
      <w:pPr>
        <w:jc w:val="center"/>
        <w:rPr>
          <w:b/>
          <w:bCs/>
          <w:sz w:val="28"/>
          <w:szCs w:val="28"/>
        </w:rPr>
      </w:pPr>
      <w:r w:rsidRPr="00C93B1A">
        <w:rPr>
          <w:rFonts w:ascii="Arial" w:hAnsi="Arial" w:cs="Arial"/>
          <w:b/>
          <w:noProof/>
          <w:sz w:val="32"/>
          <w:lang w:eastAsia="es-ES"/>
        </w:rPr>
        <w:drawing>
          <wp:anchor distT="0" distB="0" distL="114300" distR="114300" simplePos="0" relativeHeight="251659264" behindDoc="0" locked="0" layoutInCell="1" allowOverlap="1" wp14:anchorId="56362FC3" wp14:editId="7CBDB12B">
            <wp:simplePos x="0" y="0"/>
            <wp:positionH relativeFrom="margin">
              <wp:align>center</wp:align>
            </wp:positionH>
            <wp:positionV relativeFrom="paragraph">
              <wp:posOffset>-541020</wp:posOffset>
            </wp:positionV>
            <wp:extent cx="1925320" cy="1443990"/>
            <wp:effectExtent l="0" t="0" r="0" b="3810"/>
            <wp:wrapNone/>
            <wp:docPr id="21" name="Imagen 21" descr="Logo roj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Logo rojo"/>
                    <pic:cNvPicPr>
                      <a:picLocks noChangeAspect="1" noChangeArrowheads="1"/>
                    </pic:cNvPicPr>
                  </pic:nvPicPr>
                  <pic:blipFill>
                    <a:blip r:embed="rId5"/>
                    <a:srcRect/>
                    <a:stretch>
                      <a:fillRect/>
                    </a:stretch>
                  </pic:blipFill>
                  <pic:spPr bwMode="auto">
                    <a:xfrm>
                      <a:off x="0" y="0"/>
                      <a:ext cx="1925320" cy="1443990"/>
                    </a:xfrm>
                    <a:prstGeom prst="rect">
                      <a:avLst/>
                    </a:prstGeom>
                    <a:noFill/>
                    <a:ln w="9525">
                      <a:noFill/>
                      <a:miter lim="800000"/>
                      <a:headEnd/>
                      <a:tailEnd/>
                    </a:ln>
                  </pic:spPr>
                </pic:pic>
              </a:graphicData>
            </a:graphic>
            <wp14:sizeRelH relativeFrom="margin">
              <wp14:pctWidth>0</wp14:pctWidth>
            </wp14:sizeRelH>
            <wp14:sizeRelV relativeFrom="margin">
              <wp14:pctHeight>0</wp14:pctHeight>
            </wp14:sizeRelV>
          </wp:anchor>
        </w:drawing>
      </w:r>
    </w:p>
    <w:p w14:paraId="6768127D" w14:textId="77777777" w:rsidR="00E40270" w:rsidRDefault="00E40270" w:rsidP="00E40270">
      <w:pPr>
        <w:jc w:val="center"/>
        <w:rPr>
          <w:b/>
          <w:bCs/>
          <w:sz w:val="28"/>
          <w:szCs w:val="28"/>
        </w:rPr>
      </w:pPr>
    </w:p>
    <w:p w14:paraId="1B31BA77" w14:textId="77777777" w:rsidR="00E40270" w:rsidRDefault="00E40270" w:rsidP="00E40270">
      <w:pPr>
        <w:jc w:val="center"/>
        <w:rPr>
          <w:b/>
          <w:bCs/>
          <w:sz w:val="28"/>
          <w:szCs w:val="28"/>
        </w:rPr>
      </w:pPr>
    </w:p>
    <w:p w14:paraId="23595F1C" w14:textId="43E13B5C" w:rsidR="00E40270" w:rsidRPr="007A5374" w:rsidRDefault="00E40270" w:rsidP="007A5374">
      <w:pPr>
        <w:jc w:val="center"/>
        <w:rPr>
          <w:b/>
          <w:bCs/>
          <w:sz w:val="28"/>
          <w:szCs w:val="28"/>
        </w:rPr>
      </w:pPr>
      <w:r w:rsidRPr="00BF7037">
        <w:rPr>
          <w:b/>
          <w:bCs/>
          <w:sz w:val="28"/>
          <w:szCs w:val="28"/>
        </w:rPr>
        <w:t>ANÁLISIS PRESUPUESTOS CARM 2024.</w:t>
      </w:r>
    </w:p>
    <w:p w14:paraId="47629F75" w14:textId="2D0ED787" w:rsidR="00E40270" w:rsidRDefault="00E40270" w:rsidP="0019589E">
      <w:pPr>
        <w:jc w:val="both"/>
        <w:rPr>
          <w:b/>
          <w:bCs/>
          <w:sz w:val="24"/>
          <w:szCs w:val="24"/>
        </w:rPr>
      </w:pPr>
      <w:r>
        <w:rPr>
          <w:b/>
          <w:bCs/>
          <w:sz w:val="24"/>
          <w:szCs w:val="24"/>
        </w:rPr>
        <w:t xml:space="preserve"> CONSEJERÍA DE S</w:t>
      </w:r>
      <w:r w:rsidR="003D1394">
        <w:rPr>
          <w:b/>
          <w:bCs/>
          <w:sz w:val="24"/>
          <w:szCs w:val="24"/>
        </w:rPr>
        <w:t>ALUD</w:t>
      </w:r>
      <w:r>
        <w:rPr>
          <w:b/>
          <w:bCs/>
          <w:sz w:val="24"/>
          <w:szCs w:val="24"/>
        </w:rPr>
        <w:t>.</w:t>
      </w:r>
    </w:p>
    <w:p w14:paraId="0FAC78F2" w14:textId="66727D58" w:rsidR="00E40270" w:rsidRDefault="00E40270" w:rsidP="0019589E">
      <w:pPr>
        <w:jc w:val="both"/>
        <w:rPr>
          <w:sz w:val="24"/>
          <w:szCs w:val="24"/>
        </w:rPr>
      </w:pPr>
      <w:r w:rsidRPr="00E40270">
        <w:rPr>
          <w:sz w:val="24"/>
          <w:szCs w:val="24"/>
        </w:rPr>
        <w:t>1.- A pesar del incremento presupuestario del 7,45% de la Consejería de Salud, se trata de un incremento insuficiente. Esta consejería adolece de un déficit estructural en la ejecución presupuestaria que entre 2010 y 2019 fue del 27%</w:t>
      </w:r>
      <w:r>
        <w:rPr>
          <w:sz w:val="24"/>
          <w:szCs w:val="24"/>
        </w:rPr>
        <w:t>. Los últimos datos de gasto consolidado (2021) arrojan un déficit del 34,7% (-746 millones). No obstante, el diferencial 2022-2023 ha sido del 11,2% y 243 millones según la cuenta general de la CARM. Por tanto, debería haberse contemplado un presupuesto que se ajuste el gasto sanitario real</w:t>
      </w:r>
      <w:r w:rsidR="007A5374">
        <w:rPr>
          <w:sz w:val="24"/>
          <w:szCs w:val="24"/>
        </w:rPr>
        <w:t>. En estimación de la Asociación para la Defensa de la Sanidad Pública de la Región de Murcia el presupuesto debería haber rondado los 2.900 millones, es decir, contar con un incremento de 680 millones y no de 168 (+7,45% sobre 2023).</w:t>
      </w:r>
    </w:p>
    <w:p w14:paraId="687C2E26" w14:textId="17B4ECCD" w:rsidR="0019589E" w:rsidRDefault="007A5374" w:rsidP="0019589E">
      <w:pPr>
        <w:autoSpaceDE w:val="0"/>
        <w:autoSpaceDN w:val="0"/>
        <w:adjustRightInd w:val="0"/>
        <w:spacing w:after="0" w:line="240" w:lineRule="auto"/>
        <w:jc w:val="both"/>
        <w:rPr>
          <w:sz w:val="24"/>
          <w:szCs w:val="24"/>
        </w:rPr>
      </w:pPr>
      <w:r>
        <w:rPr>
          <w:sz w:val="24"/>
          <w:szCs w:val="24"/>
        </w:rPr>
        <w:t xml:space="preserve">2. </w:t>
      </w:r>
      <w:r w:rsidR="0019589E">
        <w:rPr>
          <w:sz w:val="24"/>
          <w:szCs w:val="24"/>
        </w:rPr>
        <w:t>En el gasto farmacéutico puede apreciarse perfectamente lo planteado en el punto anterior. La previsión para 2024 es de casi 256 millones cuando el gasto real en 2021 fue de 435,4M y en 2022 de 462,6M. Y todo ello siendo la CA con el porcentaje de prescripción de medicamentos genéricos más bajo de todo el país (32%).</w:t>
      </w:r>
    </w:p>
    <w:p w14:paraId="32640172" w14:textId="77777777" w:rsidR="0019589E" w:rsidRDefault="0019589E" w:rsidP="0019589E">
      <w:pPr>
        <w:autoSpaceDE w:val="0"/>
        <w:autoSpaceDN w:val="0"/>
        <w:adjustRightInd w:val="0"/>
        <w:spacing w:after="0" w:line="240" w:lineRule="auto"/>
        <w:jc w:val="both"/>
        <w:rPr>
          <w:sz w:val="24"/>
          <w:szCs w:val="24"/>
        </w:rPr>
      </w:pPr>
    </w:p>
    <w:p w14:paraId="09C0B627" w14:textId="38D1890E" w:rsidR="0019589E" w:rsidRDefault="0019589E" w:rsidP="0019589E">
      <w:pPr>
        <w:autoSpaceDE w:val="0"/>
        <w:autoSpaceDN w:val="0"/>
        <w:adjustRightInd w:val="0"/>
        <w:spacing w:after="0" w:line="240" w:lineRule="auto"/>
        <w:jc w:val="both"/>
        <w:rPr>
          <w:sz w:val="24"/>
          <w:szCs w:val="24"/>
        </w:rPr>
      </w:pPr>
      <w:r>
        <w:rPr>
          <w:sz w:val="24"/>
          <w:szCs w:val="24"/>
        </w:rPr>
        <w:t xml:space="preserve">3. </w:t>
      </w:r>
      <w:r w:rsidR="00AB2A64">
        <w:rPr>
          <w:sz w:val="24"/>
          <w:szCs w:val="24"/>
        </w:rPr>
        <w:t>Atención Primaria. Para implementar el modelo de Atención Primaria como eje del sistema de salud y orientarlo hacia la prevención de la enfermedad y promoción de la salud con perspectiva comunitaria, según establece la Estrategia de Mejora de la Atención Primaria, sería imprescindible constituir los equipos formados por trabajadores/as sociales, enfermeros/as y médico/a de familia previsto en dicha Estrategia. Debería ser este un objetivo prioritario adelantando las previsiones de contratación de personal</w:t>
      </w:r>
      <w:r w:rsidR="003D1394">
        <w:rPr>
          <w:sz w:val="24"/>
          <w:szCs w:val="24"/>
        </w:rPr>
        <w:t xml:space="preserve"> en este ámbito y así garantizar este eje central de la Estrategia y evitar situaciones de inejecución presupuestaria como ya está ocurriendo con el presupuesto de 2023. La ASDSP-RM estima esta inversión en personal en 19 millones de euros que deberían recogerse.</w:t>
      </w:r>
    </w:p>
    <w:p w14:paraId="2ADDEBAC" w14:textId="77777777" w:rsidR="003D1394" w:rsidRDefault="003D1394" w:rsidP="0019589E">
      <w:pPr>
        <w:autoSpaceDE w:val="0"/>
        <w:autoSpaceDN w:val="0"/>
        <w:adjustRightInd w:val="0"/>
        <w:spacing w:after="0" w:line="240" w:lineRule="auto"/>
        <w:jc w:val="both"/>
        <w:rPr>
          <w:sz w:val="24"/>
          <w:szCs w:val="24"/>
        </w:rPr>
      </w:pPr>
    </w:p>
    <w:p w14:paraId="03C6D10F" w14:textId="1DD3D31C" w:rsidR="003D1394" w:rsidRDefault="00956E80" w:rsidP="0019589E">
      <w:pPr>
        <w:autoSpaceDE w:val="0"/>
        <w:autoSpaceDN w:val="0"/>
        <w:adjustRightInd w:val="0"/>
        <w:spacing w:after="0" w:line="240" w:lineRule="auto"/>
        <w:jc w:val="both"/>
        <w:rPr>
          <w:sz w:val="24"/>
          <w:szCs w:val="24"/>
        </w:rPr>
      </w:pPr>
      <w:r>
        <w:rPr>
          <w:sz w:val="24"/>
          <w:szCs w:val="24"/>
        </w:rPr>
        <w:t xml:space="preserve">4. Las inversiones previstas tanto en el presupuesto del SMS como de la propia consejería disminuyen en casi el 60% </w:t>
      </w:r>
      <w:r w:rsidR="00513985">
        <w:rPr>
          <w:sz w:val="24"/>
          <w:szCs w:val="24"/>
        </w:rPr>
        <w:t>con respecto al año 2023, pasando de 86 millones aproximadamente en dicho año a 50 en 2024 (26,3 del SMS y otros 23,7 de la consejería de Salud).</w:t>
      </w:r>
    </w:p>
    <w:p w14:paraId="325234F2" w14:textId="77777777" w:rsidR="00513985" w:rsidRDefault="00513985" w:rsidP="0019589E">
      <w:pPr>
        <w:autoSpaceDE w:val="0"/>
        <w:autoSpaceDN w:val="0"/>
        <w:adjustRightInd w:val="0"/>
        <w:spacing w:after="0" w:line="240" w:lineRule="auto"/>
        <w:jc w:val="both"/>
        <w:rPr>
          <w:sz w:val="24"/>
          <w:szCs w:val="24"/>
        </w:rPr>
      </w:pPr>
    </w:p>
    <w:p w14:paraId="59CD6F30" w14:textId="497EFC79" w:rsidR="006347C9" w:rsidRDefault="00513985" w:rsidP="00D90067">
      <w:pPr>
        <w:autoSpaceDE w:val="0"/>
        <w:autoSpaceDN w:val="0"/>
        <w:adjustRightInd w:val="0"/>
        <w:spacing w:after="0" w:line="240" w:lineRule="auto"/>
        <w:jc w:val="both"/>
      </w:pPr>
      <w:r>
        <w:rPr>
          <w:sz w:val="24"/>
          <w:szCs w:val="24"/>
        </w:rPr>
        <w:t xml:space="preserve">5. En cuanto a las listas de espera sanitarias (quirúrgica, de consultas externas especializadas y de pruebas diagnósticas) que alcanzan cifras insoportables, los presupuestos deberían contemplar una mayor inversión para aumentar la eficiencia de los recursos públicos, con un incremento adicional de recursos en aquellas Áreas de Salud más deficitarias como son las Áreas periféricas: III de Lorca, IV del Noroeste o V del Altiplano. El presupuesto en conciertos sanitarios se incrementa </w:t>
      </w:r>
      <w:r w:rsidR="00D90067">
        <w:rPr>
          <w:sz w:val="24"/>
          <w:szCs w:val="24"/>
        </w:rPr>
        <w:t>un 8,75% (+7,5M) hasta los 92 millones de euros.</w:t>
      </w:r>
    </w:p>
    <w:sectPr w:rsidR="006347C9">
      <w:pgSz w:w="11906" w:h="16838"/>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759C2351"/>
    <w:multiLevelType w:val="hybridMultilevel"/>
    <w:tmpl w:val="36FA9780"/>
    <w:lvl w:ilvl="0" w:tplc="085E59DE">
      <w:start w:val="1"/>
      <w:numFmt w:val="decimal"/>
      <w:lvlText w:val="%1."/>
      <w:lvlJc w:val="left"/>
      <w:pPr>
        <w:ind w:left="720" w:hanging="360"/>
      </w:pPr>
      <w:rPr>
        <w:rFonts w:hint="default"/>
        <w:sz w:val="24"/>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num w:numId="1" w16cid:durableId="72850455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425"/>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40270"/>
    <w:rsid w:val="0019589E"/>
    <w:rsid w:val="003D1394"/>
    <w:rsid w:val="004347B5"/>
    <w:rsid w:val="00513985"/>
    <w:rsid w:val="006347C9"/>
    <w:rsid w:val="007A5374"/>
    <w:rsid w:val="00956E80"/>
    <w:rsid w:val="00AB2A64"/>
    <w:rsid w:val="00D90067"/>
    <w:rsid w:val="00E40270"/>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E2ABA0A"/>
  <w15:chartTrackingRefBased/>
  <w15:docId w15:val="{15A38A5B-1AAE-4A10-82C7-148C31F1C97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s-E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40270"/>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rrafodelista">
    <w:name w:val="List Paragraph"/>
    <w:basedOn w:val="Normal"/>
    <w:uiPriority w:val="34"/>
    <w:qFormat/>
    <w:rsid w:val="00E40270"/>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97</TotalTime>
  <Pages>1</Pages>
  <Words>418</Words>
  <Characters>2303</Characters>
  <Application>Microsoft Office Word</Application>
  <DocSecurity>0</DocSecurity>
  <Lines>19</Lines>
  <Paragraphs>5</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2716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José Luis Álvarez-Castellanos</dc:creator>
  <cp:keywords/>
  <dc:description/>
  <cp:lastModifiedBy>José Luis Álvarez-Castellanos</cp:lastModifiedBy>
  <cp:revision>1</cp:revision>
  <dcterms:created xsi:type="dcterms:W3CDTF">2023-11-30T18:47:00Z</dcterms:created>
  <dcterms:modified xsi:type="dcterms:W3CDTF">2023-11-30T20:25:00Z</dcterms:modified>
</cp:coreProperties>
</file>